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57" w:rsidRDefault="00E30B57" w:rsidP="00E30B57">
      <w:pPr>
        <w:ind w:left="7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:rsidR="00E30B57" w:rsidRDefault="00E30B57" w:rsidP="004D145C">
      <w:pPr>
        <w:jc w:val="center"/>
        <w:rPr>
          <w:rFonts w:ascii="Times New Roman" w:hAnsi="Times New Roman"/>
          <w:b/>
        </w:rPr>
      </w:pPr>
    </w:p>
    <w:p w:rsidR="00E30B57" w:rsidRDefault="00E30B57" w:rsidP="004D145C">
      <w:pPr>
        <w:jc w:val="center"/>
        <w:rPr>
          <w:rFonts w:ascii="Times New Roman" w:hAnsi="Times New Roman"/>
          <w:b/>
        </w:rPr>
      </w:pPr>
    </w:p>
    <w:p w:rsidR="00E30B57" w:rsidRDefault="00E30B57" w:rsidP="004D145C">
      <w:pPr>
        <w:jc w:val="center"/>
        <w:rPr>
          <w:rFonts w:ascii="Times New Roman" w:hAnsi="Times New Roman"/>
          <w:b/>
        </w:rPr>
      </w:pPr>
    </w:p>
    <w:p w:rsidR="004D145C" w:rsidRDefault="004D145C" w:rsidP="004D14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REGULAMIN PRZETARGU</w:t>
      </w:r>
    </w:p>
    <w:p w:rsidR="004D145C" w:rsidRDefault="004D145C" w:rsidP="004D14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określający zasady przeprowadzenia przetargu na sprzedaż zbędnych i zużytych składników rzeczowych majątku ruchomego PODR Oddział Stare Pole.</w:t>
      </w:r>
    </w:p>
    <w:p w:rsidR="004D145C" w:rsidRPr="000C2FE7" w:rsidRDefault="004D145C" w:rsidP="004D145C">
      <w:pPr>
        <w:spacing w:line="276" w:lineRule="auto"/>
      </w:pPr>
    </w:p>
    <w:p w:rsidR="004D145C" w:rsidRPr="000C2FE7" w:rsidRDefault="004D145C" w:rsidP="004D145C">
      <w:pPr>
        <w:spacing w:line="276" w:lineRule="auto"/>
      </w:pP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36" w:line="276" w:lineRule="auto"/>
        <w:ind w:left="520" w:right="480" w:hanging="380"/>
        <w:jc w:val="both"/>
      </w:pPr>
      <w:r w:rsidRPr="000C2FE7">
        <w:t>Organizatorem przetargu publicznego na sprzedaż zbędnych składników majątku ruchomego (mienia) jest Pomorski Ośrodek Doradztwa Rolniczego w Lubaniu, zwany dalej Sprzedawcą.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4" w:line="276" w:lineRule="auto"/>
        <w:ind w:left="520" w:right="480" w:hanging="380"/>
      </w:pPr>
      <w:r>
        <w:t>Regulamin Przetargu (określony</w:t>
      </w:r>
      <w:r w:rsidRPr="000C2FE7">
        <w:t xml:space="preserve"> dalej jako - </w:t>
      </w:r>
      <w:r>
        <w:t>RP) stanowi</w:t>
      </w:r>
      <w:r w:rsidRPr="000C2FE7">
        <w:t xml:space="preserve"> integralną część ogłoszenia o przetargu publicznym i umów sprzedaży zawieranych w trybie przetargu.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</w:pPr>
      <w:r w:rsidRPr="000C2FE7">
        <w:t>Pos</w:t>
      </w:r>
      <w:r>
        <w:t>tanowienia zawarte w niniejszym RP</w:t>
      </w:r>
      <w:r w:rsidRPr="000C2FE7">
        <w:t xml:space="preserve"> mogą być zmieniane jedynie w formie pisemnej pod rygorem nieważności.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jc w:val="both"/>
      </w:pPr>
      <w:r w:rsidRPr="000C2FE7">
        <w:t>Przetarg przeprowadzony będzie zgodnie z r</w:t>
      </w:r>
      <w:r>
        <w:t>ozporządzeniem Rady Ministrów z </w:t>
      </w:r>
      <w:r w:rsidRPr="000C2FE7">
        <w:t xml:space="preserve">dnia 21 października </w:t>
      </w:r>
      <w:r w:rsidRPr="00A22EEF">
        <w:t xml:space="preserve">2019 r. </w:t>
      </w:r>
      <w:r w:rsidRPr="00A22EEF">
        <w:rPr>
          <w:iCs/>
        </w:rPr>
        <w:t>w sprawie szczegółowego sposobu gospodarowania składnikami rzeczowymi majątku ruchomego Skarbu Państwa</w:t>
      </w:r>
      <w:r w:rsidRPr="00A22EEF">
        <w:rPr>
          <w:b/>
          <w:bCs/>
        </w:rPr>
        <w:t xml:space="preserve"> </w:t>
      </w:r>
      <w:r w:rsidRPr="00A22EEF">
        <w:t>(Dz. U. z 20</w:t>
      </w:r>
      <w:r>
        <w:t>22</w:t>
      </w:r>
      <w:r w:rsidRPr="00A22EEF">
        <w:t xml:space="preserve"> r. poz. </w:t>
      </w:r>
      <w:r>
        <w:t>998</w:t>
      </w:r>
      <w:r w:rsidRPr="00A22EEF">
        <w:t xml:space="preserve"> z </w:t>
      </w:r>
      <w:proofErr w:type="spellStart"/>
      <w:r w:rsidRPr="00A22EEF">
        <w:t>późn</w:t>
      </w:r>
      <w:proofErr w:type="spellEnd"/>
      <w:r w:rsidRPr="00A22EEF">
        <w:t>. zm.).</w:t>
      </w:r>
    </w:p>
    <w:p w:rsidR="004D145C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</w:pPr>
      <w:r w:rsidRPr="000C2FE7">
        <w:t>Do przetargu mają zastosowanie odpowiednie przepisy ustawy z dnia 23 kwietnia 1964 r. Kodeks cywilny (Dz. U. z 202</w:t>
      </w:r>
      <w:r>
        <w:t>2</w:t>
      </w:r>
      <w:r w:rsidRPr="000C2FE7">
        <w:t xml:space="preserve"> r. poz. 1</w:t>
      </w:r>
      <w:r>
        <w:t>360</w:t>
      </w:r>
      <w:r w:rsidRPr="000C2FE7">
        <w:t xml:space="preserve">, z </w:t>
      </w:r>
      <w:proofErr w:type="spellStart"/>
      <w:r w:rsidRPr="000C2FE7">
        <w:t>późn</w:t>
      </w:r>
      <w:proofErr w:type="spellEnd"/>
      <w:r w:rsidRPr="000C2FE7">
        <w:t>. zm.).</w:t>
      </w:r>
    </w:p>
    <w:p w:rsidR="004D145C" w:rsidRDefault="004D145C" w:rsidP="004D145C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Zbędnych lub zużytych składników rzeczowych majątku ruchomego organu lub jednostki, nie mogą nabywać:</w:t>
      </w:r>
    </w:p>
    <w:p w:rsidR="004D145C" w:rsidRDefault="004D145C" w:rsidP="004D145C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1) kierownik jednostki;</w:t>
      </w:r>
    </w:p>
    <w:p w:rsidR="004D145C" w:rsidRDefault="004D145C" w:rsidP="004D145C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2) główny księgowy jednostki;</w:t>
      </w:r>
    </w:p>
    <w:p w:rsidR="004D145C" w:rsidRDefault="004D145C" w:rsidP="004D145C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3) osoby odpowiedzialne za gospodarkę majątkową w jednostce;</w:t>
      </w:r>
    </w:p>
    <w:p w:rsidR="004D145C" w:rsidRDefault="004D145C" w:rsidP="004D145C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4) osoby biorące udział w podejmowaniu decyzji o zakwalifikowaniu tych składników do kategorii majątku zbędnego lub zużytego;</w:t>
      </w:r>
    </w:p>
    <w:p w:rsidR="004D145C" w:rsidRDefault="004D145C" w:rsidP="004D145C">
      <w:pPr>
        <w:pStyle w:val="Bodytext20"/>
        <w:tabs>
          <w:tab w:val="left" w:pos="494"/>
        </w:tabs>
        <w:spacing w:after="0"/>
        <w:ind w:left="567" w:right="480" w:firstLine="0"/>
        <w:jc w:val="both"/>
      </w:pPr>
      <w:r>
        <w:t>5) osoby pozostające z osobami, o których mowa w pkt 1–4, w stosunku pokrewieństwa lub powinowactwa albo w innym stosunku faktycznym mogącym budzić wątpliwości co do bezstronności lub bezinteresowności osób, o których mowa w pkt 1–4.</w:t>
      </w:r>
    </w:p>
    <w:p w:rsidR="004D145C" w:rsidRDefault="004D145C" w:rsidP="004D145C">
      <w:pPr>
        <w:pStyle w:val="Bodytext20"/>
        <w:tabs>
          <w:tab w:val="left" w:pos="494"/>
        </w:tabs>
        <w:spacing w:after="0"/>
        <w:ind w:left="567" w:right="480" w:firstLine="0"/>
        <w:jc w:val="both"/>
      </w:pP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</w:pPr>
      <w:r w:rsidRPr="000C2FE7">
        <w:t xml:space="preserve">Na </w:t>
      </w:r>
      <w:r>
        <w:t>sprzęt</w:t>
      </w:r>
      <w:r w:rsidRPr="000C2FE7">
        <w:t xml:space="preserve">, zawarta zostanie pisemna umowa sprzedaży, która może zawierać dodatkowe uregulowania nie ujęte w </w:t>
      </w:r>
      <w:r>
        <w:t>RP</w:t>
      </w:r>
      <w:r w:rsidRPr="000C2FE7">
        <w:t>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jc w:val="both"/>
      </w:pPr>
      <w:r w:rsidRPr="000C2FE7">
        <w:t xml:space="preserve">Przetarg odbędzie się w miejscu i terminie określonym w ogłoszeniu o przetargu publicznym zamieszczonym na tablicy ogłoszeń w siedzibie Sprzedającego oraz na stronie internetowej: </w:t>
      </w:r>
      <w:hyperlink r:id="rId6" w:history="1">
        <w:r w:rsidRPr="000C2FE7">
          <w:rPr>
            <w:rStyle w:val="Hipercze"/>
            <w:color w:val="auto"/>
            <w:lang w:val="en-US" w:bidi="en-US"/>
          </w:rPr>
          <w:t>www.podr.pl</w:t>
        </w:r>
      </w:hyperlink>
      <w:r w:rsidRPr="000C2FE7">
        <w:rPr>
          <w:lang w:val="en-US" w:bidi="en-US"/>
        </w:rPr>
        <w:t xml:space="preserve">, </w:t>
      </w:r>
      <w:r w:rsidRPr="000C2FE7">
        <w:t>w zakładce „</w:t>
      </w:r>
      <w:r>
        <w:t>Przetargi</w:t>
      </w:r>
      <w:r w:rsidRPr="000C2FE7">
        <w:t>”</w:t>
      </w:r>
      <w:r>
        <w:t xml:space="preserve"> oraz w Biuletynie Informacji Publicznej</w:t>
      </w:r>
      <w:r w:rsidRPr="000C2FE7">
        <w:t>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0" w:line="276" w:lineRule="auto"/>
        <w:ind w:left="520" w:hanging="380"/>
      </w:pPr>
      <w:r w:rsidRPr="000C2FE7">
        <w:t>Szczegółowe informacje dotyczące przetargu zawarte są w ogłoszeniu o przetargu publicznym i zawierają m.in. następujące dane:</w:t>
      </w:r>
    </w:p>
    <w:p w:rsidR="004D145C" w:rsidRPr="000C2FE7" w:rsidRDefault="004D145C" w:rsidP="004D145C">
      <w:pPr>
        <w:pStyle w:val="Bodytext20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276" w:lineRule="auto"/>
        <w:ind w:left="520" w:firstLine="0"/>
        <w:jc w:val="both"/>
      </w:pPr>
      <w:r w:rsidRPr="000C2FE7">
        <w:t>rodzaj, typ i ilość oferowanego mienia;</w:t>
      </w:r>
    </w:p>
    <w:p w:rsidR="004D145C" w:rsidRPr="000C2FE7" w:rsidRDefault="004D145C" w:rsidP="004D145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left="520" w:firstLine="0"/>
        <w:jc w:val="both"/>
      </w:pPr>
      <w:r w:rsidRPr="000C2FE7">
        <w:t>wysokość ceny wywoławczej;</w:t>
      </w:r>
    </w:p>
    <w:p w:rsidR="004D145C" w:rsidRPr="000C2FE7" w:rsidRDefault="004D145C" w:rsidP="004D145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76" w:lineRule="auto"/>
        <w:ind w:left="520" w:firstLine="0"/>
        <w:jc w:val="both"/>
      </w:pPr>
      <w:r w:rsidRPr="000C2FE7">
        <w:t>miejsce i termin, w którym można obejrzeć wystawione w przetargu składniki;</w:t>
      </w:r>
    </w:p>
    <w:p w:rsidR="004D145C" w:rsidRPr="000C2FE7" w:rsidRDefault="004D145C" w:rsidP="004D145C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after="240" w:line="276" w:lineRule="auto"/>
        <w:ind w:left="520" w:firstLine="0"/>
        <w:jc w:val="both"/>
      </w:pPr>
      <w:r w:rsidRPr="000C2FE7">
        <w:lastRenderedPageBreak/>
        <w:t>inne ważne zastrzeżenia, ograniczenia i dodatkowe informacje.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494"/>
        </w:tabs>
        <w:spacing w:after="240" w:line="276" w:lineRule="auto"/>
        <w:ind w:left="520" w:right="480" w:hanging="380"/>
        <w:jc w:val="both"/>
      </w:pPr>
      <w:r w:rsidRPr="000C2FE7">
        <w:t>Przedmiotem sprzedaży są zbędne składniki majątku ruchomego (mienie), po cenie nie niższej niż cena wywoławcza, ujęte w ogłoszeniu o przetargu publicznym (określone dalej, jako oferta sprzedaży).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75"/>
        </w:tabs>
        <w:spacing w:after="0" w:line="276" w:lineRule="auto"/>
        <w:ind w:left="520" w:right="480" w:hanging="380"/>
      </w:pPr>
      <w:r w:rsidRPr="000C2FE7">
        <w:t>Oferent przystępując do przetargu publicznego pisemnego poprzez złożenie czytelnego własnoręcznego podpisu na formularzu ofertowym przetargu oświadcza, że:</w:t>
      </w:r>
    </w:p>
    <w:p w:rsidR="004D145C" w:rsidRPr="000C2FE7" w:rsidRDefault="004D145C" w:rsidP="004D145C">
      <w:pPr>
        <w:pStyle w:val="Bodytext20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276" w:lineRule="auto"/>
        <w:ind w:left="520" w:right="620" w:firstLine="0"/>
      </w:pPr>
      <w:r w:rsidRPr="000C2FE7">
        <w:t>Sprzedawca umożliwił dokonanie oględzin mienia i zapoznanie się z ich parametrami, i jakością, na które Oferent planuje złożyć ofertę. Oferent nabywa mienie w stanie technicznym i w ukompletowaniu, w jakim znajduje się w dniu wydania i podpisania umowy sprzedaży oraz zrzeka się wszelkich roszczeń w stosunku do Sprzedawcy z tytułu</w:t>
      </w:r>
    </w:p>
    <w:p w:rsidR="004D145C" w:rsidRPr="000C2FE7" w:rsidRDefault="004D145C" w:rsidP="004D145C">
      <w:pPr>
        <w:pStyle w:val="Bodytext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76" w:lineRule="auto"/>
        <w:ind w:left="540" w:right="480" w:firstLine="0"/>
      </w:pPr>
      <w:r w:rsidRPr="000C2FE7">
        <w:t>jest świadomy zużycia eksploatacyjnego mienia, na które planuje złożyć ofertę w celu zawarcia umowy sprzedaży;</w:t>
      </w:r>
    </w:p>
    <w:p w:rsidR="004D145C" w:rsidRPr="000C2FE7" w:rsidRDefault="004D145C" w:rsidP="004D145C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after="221" w:line="276" w:lineRule="auto"/>
        <w:ind w:left="540" w:right="480" w:firstLine="0"/>
      </w:pPr>
      <w:r w:rsidRPr="000C2FE7">
        <w:t xml:space="preserve">zapoznał się i akceptuje zasady prowadzenia przetargu oraz zapisy </w:t>
      </w:r>
      <w:r>
        <w:t>RP</w:t>
      </w:r>
      <w:r w:rsidRPr="000C2FE7">
        <w:t>, co do których oświadcza, że zostały mu doręczone, jak również jest świadom skutków ich nieprzestrzegania, ze szczególnym uwzględnieniem warunków utraty wadium na rzecz Sprzedawcy i kar umownych, o których mowa</w:t>
      </w:r>
      <w:r>
        <w:t xml:space="preserve"> w RP</w:t>
      </w:r>
      <w:r w:rsidRPr="000C2FE7">
        <w:t>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139" w:line="276" w:lineRule="auto"/>
        <w:ind w:left="540" w:right="480" w:hanging="380"/>
        <w:jc w:val="both"/>
      </w:pPr>
      <w:r w:rsidRPr="000C2FE7">
        <w:t>Sprzedawca zastrzega sobie prawo przesunięcia terminu roz</w:t>
      </w:r>
      <w:r>
        <w:t>poczęcia przetargu, wycofania z </w:t>
      </w:r>
      <w:r w:rsidRPr="000C2FE7">
        <w:t>przetargu poszczególnych pozycji przetargowych oraz unieważnienia przetargu bez podania przyczyny i bez możliwości dochodzenia jakichkolwiek roszczeń oraz odszkodowań przez uczestników przetargu na każdym jego etapie.</w:t>
      </w:r>
    </w:p>
    <w:p w:rsidR="004D145C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240" w:line="276" w:lineRule="auto"/>
        <w:ind w:left="540" w:right="480" w:hanging="380"/>
        <w:jc w:val="both"/>
      </w:pPr>
      <w:r w:rsidRPr="000C2FE7">
        <w:t xml:space="preserve">Przetarg publiczny pisemny na sprzedaż mienia odbywa </w:t>
      </w:r>
      <w:r w:rsidR="0041131A">
        <w:t>się w formie zbierania ofert. W </w:t>
      </w:r>
      <w:r w:rsidRPr="000C2FE7">
        <w:t>przetargu mogą uczestniczyć osoby fizyczne i prawne, które spełniają warunki przystąpienia do przetargu określon</w:t>
      </w:r>
      <w:r>
        <w:t>e</w:t>
      </w:r>
      <w:r w:rsidR="0041131A">
        <w:t xml:space="preserve"> w ogłoszeniu o przetargu i RP </w:t>
      </w:r>
      <w:r w:rsidRPr="000C2FE7">
        <w:t>i złożyły podpisaną ofertę na formularzu ofertowym.</w:t>
      </w:r>
    </w:p>
    <w:p w:rsidR="002E53E4" w:rsidRDefault="002E53E4" w:rsidP="002E53E4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240" w:line="276" w:lineRule="auto"/>
        <w:ind w:left="540" w:right="480" w:hanging="380"/>
        <w:jc w:val="both"/>
      </w:pPr>
      <w:r w:rsidRPr="000C2FE7">
        <w:t xml:space="preserve">W przypadku złożenia oferty zakupu </w:t>
      </w:r>
      <w:r>
        <w:t>na sprzęt</w:t>
      </w:r>
      <w:r w:rsidRPr="000C2FE7">
        <w:t xml:space="preserve"> </w:t>
      </w:r>
      <w:r>
        <w:t>elektroniczny z </w:t>
      </w:r>
      <w:r w:rsidRPr="000C2FE7">
        <w:t xml:space="preserve">formularza ofertowego, kwota wypłaconego wadium </w:t>
      </w:r>
      <w:r>
        <w:t>będzie wynosiła 7,00zł.</w:t>
      </w:r>
    </w:p>
    <w:p w:rsidR="002E53E4" w:rsidRPr="000C2FE7" w:rsidRDefault="002E53E4" w:rsidP="002E53E4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240" w:line="276" w:lineRule="auto"/>
        <w:ind w:left="540" w:right="480" w:hanging="380"/>
        <w:jc w:val="both"/>
      </w:pPr>
      <w:r w:rsidRPr="000C2FE7">
        <w:t>Nie</w:t>
      </w:r>
      <w:r>
        <w:t xml:space="preserve"> </w:t>
      </w:r>
      <w:r w:rsidRPr="000C2FE7">
        <w:t xml:space="preserve">wniesienie wadium lub wniesienie po terminie, powoduje </w:t>
      </w:r>
      <w:r>
        <w:t>uznanie oferty za nieważną, a w </w:t>
      </w:r>
      <w:r w:rsidRPr="000C2FE7">
        <w:t>przypadku przetargu ustneg</w:t>
      </w:r>
      <w:r>
        <w:t>o nie dopuszczenie licytanta do </w:t>
      </w:r>
      <w:r w:rsidRPr="000C2FE7">
        <w:t>udziału w przetargu.</w:t>
      </w:r>
    </w:p>
    <w:p w:rsidR="002E53E4" w:rsidRPr="000C2FE7" w:rsidRDefault="002E53E4" w:rsidP="002E53E4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225" w:line="276" w:lineRule="auto"/>
        <w:ind w:left="540" w:right="480" w:hanging="380"/>
        <w:jc w:val="both"/>
      </w:pPr>
      <w:r w:rsidRPr="000C2FE7">
        <w:t>w przypadku terminowego wpłacenia niepełne</w:t>
      </w:r>
      <w:r>
        <w:t xml:space="preserve">j kwoty wadium przez oferenta </w:t>
      </w:r>
      <w:r w:rsidRPr="000C2FE7">
        <w:t>komisja p</w:t>
      </w:r>
      <w:r>
        <w:t>rzetargowa uznaje ofertę za </w:t>
      </w:r>
      <w:r w:rsidRPr="000C2FE7">
        <w:t>nieważną.</w:t>
      </w:r>
      <w:bookmarkStart w:id="0" w:name="_GoBack"/>
      <w:bookmarkEnd w:id="0"/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136" w:line="276" w:lineRule="auto"/>
        <w:ind w:left="540" w:right="480" w:hanging="380"/>
        <w:jc w:val="both"/>
      </w:pPr>
      <w:r w:rsidRPr="000C2FE7">
        <w:t>Oferenci składają pisemne oferty na formu</w:t>
      </w:r>
      <w:r>
        <w:t>larzu ofertowym obowiązującym u </w:t>
      </w:r>
      <w:r w:rsidRPr="000C2FE7">
        <w:t>organizatora przetargu, w wyznaczonym przez Sprzedawcę terminie i miejscu. Prowadzący przetarg dokonuje otwarcia ofert, ustala, które z nich uznaje się zgodnie z obowiązującymi przepisami za ważne, oraz czy Oferenci złożyli wadium, a nadto Komisja przetargowa wybiera Oferenta, który zaoferował cenę najwyższą.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240" w:line="276" w:lineRule="auto"/>
        <w:ind w:left="540" w:right="480" w:hanging="380"/>
        <w:jc w:val="both"/>
      </w:pPr>
      <w:r w:rsidRPr="000C2FE7">
        <w:t>Oferta musi być sporządzona w języku polskim, w formie pisemnej w wersji papierowej w sposób trwały (np. na maszynie do pisania, komputerze lub czytelnie długopisem) oraz dodatkowo może być w wer</w:t>
      </w:r>
      <w:r>
        <w:t>sji elektronicznej zapisanej na </w:t>
      </w:r>
      <w:r w:rsidRPr="000C2FE7">
        <w:t xml:space="preserve">nośniku elektronicznym. W przypadku rozbieżności pomiędzy ofertą w wersji papierowej, a ofertą w wersji </w:t>
      </w:r>
      <w:r w:rsidRPr="000C2FE7">
        <w:lastRenderedPageBreak/>
        <w:t>elektronicznej decydującą będzie wersja papierowa.</w:t>
      </w:r>
    </w:p>
    <w:p w:rsidR="004D145C" w:rsidRPr="000C2FE7" w:rsidRDefault="004D145C" w:rsidP="004D145C">
      <w:pPr>
        <w:pStyle w:val="Bodytext20"/>
        <w:shd w:val="clear" w:color="auto" w:fill="auto"/>
        <w:spacing w:after="240" w:line="276" w:lineRule="auto"/>
        <w:ind w:left="540" w:right="480" w:firstLine="0"/>
        <w:jc w:val="both"/>
      </w:pPr>
      <w:r w:rsidRPr="000C2FE7">
        <w:t xml:space="preserve">Oferent może złożyć ofertę </w:t>
      </w:r>
      <w:r>
        <w:t xml:space="preserve">tylko całościowo </w:t>
      </w:r>
      <w:r w:rsidRPr="000C2FE7">
        <w:t xml:space="preserve">, tj. </w:t>
      </w:r>
      <w:r>
        <w:t>tylko na wszystkie</w:t>
      </w:r>
      <w:r w:rsidRPr="000C2FE7">
        <w:t xml:space="preserve"> pozycje</w:t>
      </w:r>
      <w:r>
        <w:t xml:space="preserve"> razem</w:t>
      </w:r>
      <w:r w:rsidRPr="000C2FE7">
        <w:t>, zgodnie z obwieszczeniem o przetargu. Oferent</w:t>
      </w:r>
      <w:r>
        <w:t xml:space="preserve"> powinien</w:t>
      </w:r>
      <w:r w:rsidRPr="000C2FE7">
        <w:t xml:space="preserve"> złożyć </w:t>
      </w:r>
      <w:r>
        <w:t>tylko</w:t>
      </w:r>
      <w:r w:rsidRPr="000C2FE7">
        <w:t xml:space="preserve"> jedną ofertę cenową na </w:t>
      </w:r>
      <w:r>
        <w:t>wszystkie</w:t>
      </w:r>
      <w:r w:rsidRPr="000C2FE7">
        <w:t xml:space="preserve"> pozycję</w:t>
      </w:r>
      <w:r>
        <w:t xml:space="preserve"> </w:t>
      </w:r>
      <w:r w:rsidRPr="000C2FE7">
        <w:t xml:space="preserve"> </w:t>
      </w:r>
      <w:r>
        <w:t xml:space="preserve">razem z uwagi na zbiorową sprzedaż sprzętu elektronicznego. </w:t>
      </w:r>
      <w:r w:rsidRPr="000C2FE7">
        <w:t>W przypadku dwóch lub więcej ofert złożonych na daną pozycję przez jednego oferenta oferty te podlegają odrzuceniu.</w:t>
      </w:r>
    </w:p>
    <w:p w:rsidR="004D145C" w:rsidRPr="000C2FE7" w:rsidRDefault="004D145C" w:rsidP="004D145C">
      <w:pPr>
        <w:pStyle w:val="Bodytext20"/>
        <w:shd w:val="clear" w:color="auto" w:fill="auto"/>
        <w:spacing w:after="0" w:line="276" w:lineRule="auto"/>
        <w:ind w:left="540" w:right="480" w:firstLine="0"/>
      </w:pPr>
      <w:r w:rsidRPr="000C2FE7">
        <w:t xml:space="preserve">Oferta w formie pisemnej w wersji papierowej musi być własnoręcznie podpisana zgodnie z </w:t>
      </w:r>
      <w:r>
        <w:t> o</w:t>
      </w:r>
      <w:r w:rsidRPr="000C2FE7">
        <w:t>bowiązującym danego oferenta sposobem reprezentacji i po</w:t>
      </w:r>
      <w:r>
        <w:t>winno to bezpośrednio wynikać z </w:t>
      </w:r>
      <w:r w:rsidRPr="000C2FE7">
        <w:t>dokumentów dołączonych do oferty.</w:t>
      </w:r>
    </w:p>
    <w:p w:rsidR="004D145C" w:rsidRPr="000C2FE7" w:rsidRDefault="004D145C" w:rsidP="004D145C">
      <w:pPr>
        <w:pStyle w:val="Bodytext20"/>
        <w:shd w:val="clear" w:color="auto" w:fill="auto"/>
        <w:spacing w:after="240" w:line="276" w:lineRule="auto"/>
        <w:ind w:left="560" w:right="460" w:firstLine="0"/>
        <w:jc w:val="both"/>
      </w:pPr>
      <w:r w:rsidRPr="000C2FE7">
        <w:t>Wszystkie miejsca, w których oferent naniósł zmiany powinny być parafowane przez osobę (-y) podpisującą (-e) ofertę.</w:t>
      </w:r>
    </w:p>
    <w:p w:rsidR="004D145C" w:rsidRPr="000C2FE7" w:rsidRDefault="004D145C" w:rsidP="004D145C">
      <w:pPr>
        <w:pStyle w:val="Bodytext20"/>
        <w:shd w:val="clear" w:color="auto" w:fill="auto"/>
        <w:spacing w:after="236" w:line="276" w:lineRule="auto"/>
        <w:ind w:left="560" w:right="460" w:firstLine="0"/>
        <w:jc w:val="both"/>
      </w:pPr>
      <w:r w:rsidRPr="000C2FE7">
        <w:t>Załączniki do formularza oferty stanowią integralną część ofe</w:t>
      </w:r>
      <w:r>
        <w:t>rty i powinny być spięte wraz z </w:t>
      </w:r>
      <w:r w:rsidRPr="000C2FE7">
        <w:t>formularzem oferty.</w:t>
      </w:r>
    </w:p>
    <w:p w:rsidR="004D145C" w:rsidRPr="000C2FE7" w:rsidRDefault="004D145C" w:rsidP="004D145C">
      <w:pPr>
        <w:pStyle w:val="Bodytext20"/>
        <w:shd w:val="clear" w:color="auto" w:fill="auto"/>
        <w:spacing w:after="244" w:line="276" w:lineRule="auto"/>
        <w:ind w:left="560" w:right="460" w:firstLine="0"/>
        <w:jc w:val="both"/>
      </w:pPr>
      <w:r w:rsidRPr="000C2FE7">
        <w:t>Oferent może uzupełnić/zmienić lub wycofać złożoną ofertę przed upływem terminu do składania ofert.</w:t>
      </w:r>
    </w:p>
    <w:p w:rsidR="004D145C" w:rsidRPr="000C2FE7" w:rsidRDefault="004D145C" w:rsidP="004D145C">
      <w:pPr>
        <w:pStyle w:val="Bodytext20"/>
        <w:shd w:val="clear" w:color="auto" w:fill="auto"/>
        <w:spacing w:after="240" w:line="276" w:lineRule="auto"/>
        <w:ind w:left="560" w:right="460" w:firstLine="0"/>
        <w:jc w:val="both"/>
      </w:pPr>
      <w:r w:rsidRPr="000C2FE7">
        <w:t>Oferta złożona po terminie składania ofert zostanie zwrócona Oferentowi bez otwierania po</w:t>
      </w:r>
      <w:r>
        <w:t> </w:t>
      </w:r>
      <w:r w:rsidRPr="000C2FE7">
        <w:t>zakończeniu postępowania przetargowego. Oferent po</w:t>
      </w:r>
      <w:r>
        <w:t>nosi wszelkie koszty związane z </w:t>
      </w:r>
      <w:r w:rsidRPr="000C2FE7">
        <w:t>przygotowaniem i złożeniem oferty.</w:t>
      </w:r>
    </w:p>
    <w:p w:rsidR="004D145C" w:rsidRPr="000C2FE7" w:rsidRDefault="004D145C" w:rsidP="004D145C">
      <w:pPr>
        <w:pStyle w:val="Bodytext20"/>
        <w:shd w:val="clear" w:color="auto" w:fill="auto"/>
        <w:spacing w:after="225" w:line="276" w:lineRule="auto"/>
        <w:ind w:left="560" w:right="460" w:firstLine="0"/>
        <w:jc w:val="both"/>
      </w:pPr>
      <w:r w:rsidRPr="000C2FE7">
        <w:t>Oferent jest związany ofertą począwszy od up</w:t>
      </w:r>
      <w:r>
        <w:t>ływu terminu składania ofert do </w:t>
      </w:r>
      <w:r w:rsidRPr="000C2FE7">
        <w:t>czasu zawarcia umowy sprzedaży.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71"/>
        </w:tabs>
        <w:spacing w:after="120" w:line="276" w:lineRule="auto"/>
        <w:ind w:left="560" w:right="460" w:hanging="400"/>
        <w:jc w:val="both"/>
      </w:pPr>
      <w:r w:rsidRPr="000C2FE7">
        <w:t>W przypadku braku pełnej jednoznaczności w dokumentach d</w:t>
      </w:r>
      <w:r>
        <w:t>ołączonych do oferty pisemnej i </w:t>
      </w:r>
      <w:r w:rsidRPr="000C2FE7">
        <w:t>stanowiącej jej integralną część Komisja przetargowa może podjąć decyzję o możliwości ich uzupełnienia lub przedstawieniu pisemnego wyjaśnienia przez oferenta w wyznaczonym terminie. Komisja</w:t>
      </w:r>
      <w:r>
        <w:t xml:space="preserve"> może zwrócić się do oferenta o </w:t>
      </w:r>
      <w:r w:rsidRPr="000C2FE7">
        <w:t>uzupełnienie oferty o brakujące dokumenty.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71"/>
        </w:tabs>
        <w:spacing w:after="113" w:line="276" w:lineRule="auto"/>
        <w:ind w:left="560" w:right="460" w:hanging="400"/>
        <w:jc w:val="both"/>
      </w:pPr>
      <w:r w:rsidRPr="000C2FE7">
        <w:t>W razie ustalenia, że kilku Oferentów zaoferowało tę samą cenę, pr</w:t>
      </w:r>
      <w:r>
        <w:t>owadzący przetarg postanawia o </w:t>
      </w:r>
      <w:r w:rsidRPr="000C2FE7">
        <w:t>kontynuowaniu przetargu w formie licytacji między tymi Oferentami, wyznaczając jednocześnie termin i miejsce licytacji lub występuje pisemnie do Oferentów o złożenie dodatkowej oferty cenowej.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90"/>
        </w:tabs>
        <w:spacing w:after="174" w:line="276" w:lineRule="auto"/>
        <w:ind w:left="560" w:right="460" w:hanging="400"/>
        <w:jc w:val="both"/>
      </w:pPr>
      <w:r w:rsidRPr="000C2FE7">
        <w:t>Zawiadomienie Oferenta o przyjęciu oferty ozn</w:t>
      </w:r>
      <w:r>
        <w:t>acza zawarcie umowy sprzedaży w </w:t>
      </w:r>
      <w:r w:rsidRPr="000C2FE7">
        <w:t>trybie przetargu.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90"/>
        </w:tabs>
        <w:spacing w:after="170" w:line="276" w:lineRule="auto"/>
        <w:ind w:left="560" w:right="460" w:hanging="400"/>
        <w:jc w:val="both"/>
      </w:pPr>
      <w:r w:rsidRPr="000C2FE7">
        <w:t>Nabywca wyłoniony w drodze przetargu zobowią</w:t>
      </w:r>
      <w:r>
        <w:t>zany jest do odebrania mienia w </w:t>
      </w:r>
      <w:r w:rsidRPr="000C2FE7">
        <w:t>terminie określonym w ogłoszeniu o przetargu.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90"/>
        </w:tabs>
        <w:spacing w:after="136" w:line="276" w:lineRule="auto"/>
        <w:ind w:left="560" w:hanging="400"/>
        <w:jc w:val="both"/>
      </w:pPr>
      <w:r w:rsidRPr="000C2FE7">
        <w:t>Sprzedawca wystawi Nabywcy fakturę zgodnie z obowiązującymi przepisami.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90"/>
        </w:tabs>
        <w:spacing w:after="120" w:line="276" w:lineRule="auto"/>
        <w:ind w:left="560" w:right="460" w:hanging="400"/>
        <w:jc w:val="both"/>
      </w:pPr>
      <w:r w:rsidRPr="000C2FE7">
        <w:t>Za datę przejścia prawa własności zakupionego od Sprzedawcy mienia oraz ryzyka przypadkowej utraty/uszkodzenia przedmiotu umowy sprzedaży, uważa się datę podpisania przez Nabywcę umowy sprzedaży.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</w:tabs>
        <w:spacing w:after="116" w:line="276" w:lineRule="auto"/>
        <w:ind w:left="560" w:right="480" w:hanging="418"/>
        <w:jc w:val="both"/>
      </w:pPr>
      <w:r w:rsidRPr="00EE1F4F">
        <w:t xml:space="preserve">Sprzęt oferowany/sprzedawany w przetargu jest naturalnie wyeksploatowany i wydawany bez instrukcji obsługi. Niesprawność oferowanego do sprzedaży sprzętu obejmuje swym </w:t>
      </w:r>
      <w:r w:rsidRPr="00EE1F4F">
        <w:lastRenderedPageBreak/>
        <w:t xml:space="preserve">zakresem, w szczególności: ślady długotrwałego użytkowania, naturalne wyeksploatowane podzespoły, oraz częściowe wady techniczne spowodowane upływem czasu. Szczegółowy opis zawarto w Protokole Oceny </w:t>
      </w:r>
      <w:r w:rsidR="00F16DA4">
        <w:t>Stanu T</w:t>
      </w:r>
      <w:r w:rsidR="001B1AE2">
        <w:t>echnicznego</w:t>
      </w:r>
      <w:r w:rsidR="00FB341C">
        <w:t xml:space="preserve"> </w:t>
      </w:r>
      <w:r w:rsidR="00183CB5">
        <w:t xml:space="preserve">(Załącznik </w:t>
      </w:r>
      <w:r w:rsidR="00FB341C">
        <w:t>n</w:t>
      </w:r>
      <w:r w:rsidRPr="00EE1F4F">
        <w:t xml:space="preserve">r </w:t>
      </w:r>
      <w:r w:rsidR="00F16DA4">
        <w:t xml:space="preserve">3 </w:t>
      </w:r>
      <w:r w:rsidRPr="00EE1F4F">
        <w:t>do</w:t>
      </w:r>
      <w:r>
        <w:t> </w:t>
      </w:r>
      <w:r w:rsidR="00FB341C">
        <w:t>Regulaminu Przetargu</w:t>
      </w:r>
      <w:r w:rsidR="00183CB5">
        <w:t>)</w:t>
      </w:r>
      <w:r w:rsidRPr="000C2FE7">
        <w:t>.</w:t>
      </w:r>
      <w:r>
        <w:t xml:space="preserve"> 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8" w:line="276" w:lineRule="auto"/>
        <w:ind w:left="560" w:right="480"/>
        <w:jc w:val="both"/>
      </w:pPr>
      <w:r w:rsidRPr="000C2FE7">
        <w:t>Odbiór zakupionego mienia (załadunek, transport) odbywa się siłami i środkami własnymi Nabywcy oraz na jego koszt.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0" w:line="276" w:lineRule="auto"/>
        <w:ind w:left="560" w:right="480"/>
        <w:jc w:val="both"/>
      </w:pPr>
      <w:r w:rsidRPr="000C2FE7">
        <w:t>Warunkiem realizacji odbioru jest dokonanie zapłaty za zakupione mienie oraz podpisanie przez Nabywcę umowy sprzedaży i jej przekazanie Sprzedawcy.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0" w:line="276" w:lineRule="auto"/>
        <w:ind w:left="560" w:right="480"/>
        <w:jc w:val="both"/>
      </w:pPr>
      <w:r w:rsidRPr="000C2FE7">
        <w:t>Przedstawiciele uczestników przetargu winni okazać Komisji przetargowej stosowne pisemne upoważnienie w oryginale lub jego kopię do dokonania określonych czynności w imieniu mocodawcy.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0" w:line="276" w:lineRule="auto"/>
        <w:ind w:left="560" w:right="480"/>
        <w:jc w:val="both"/>
      </w:pPr>
      <w:r w:rsidRPr="000C2FE7">
        <w:t>Sprzedawca w odniesieniu do przedsiębiorców wyłącza odpowiedzialność z tytułu rękojmi za wady sprzedanych towarów stosownie do treści art. 558 § 1 Kodeksu cywilnego. Zakupiony towar nie podle</w:t>
      </w:r>
      <w:r>
        <w:t>ga reklamacji. W odniesieniu do </w:t>
      </w:r>
      <w:r w:rsidRPr="000C2FE7">
        <w:t>konsumentów stosuje się odpowiednie przepisy Kodeksu cywilnego dotyczące sprzedaży konsumenckiej oraz innych ustaw.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0" w:line="276" w:lineRule="auto"/>
        <w:ind w:left="560" w:right="480"/>
        <w:jc w:val="both"/>
      </w:pPr>
      <w:r w:rsidRPr="000C2FE7">
        <w:t>W przypadku przekroczenia przez Nabywcę terminu odbioru Sprzedawca może naliczyć karę umowną w wysokości 0,2% warto</w:t>
      </w:r>
      <w:r>
        <w:t>ści nieodebranych składników za </w:t>
      </w:r>
      <w:r w:rsidRPr="000C2FE7">
        <w:t xml:space="preserve">każdy dzień opóźnienia w </w:t>
      </w:r>
      <w:r>
        <w:t> o</w:t>
      </w:r>
      <w:r w:rsidRPr="000C2FE7">
        <w:t>dbiorze, jednak nie więcej niż 20% wartości brutto nieodebranych składników.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0" w:line="276" w:lineRule="auto"/>
        <w:ind w:left="560" w:right="480"/>
        <w:jc w:val="both"/>
      </w:pPr>
      <w:r w:rsidRPr="000C2FE7">
        <w:t>W przypadku nieodebrania przez Nabywcę mien</w:t>
      </w:r>
      <w:r>
        <w:t>ia w terminie powyżej 30 dni od </w:t>
      </w:r>
      <w:r w:rsidRPr="000C2FE7">
        <w:t>daty odbioru Sprzedawca może bez d</w:t>
      </w:r>
      <w:r>
        <w:t>odatkowego wezwania odstąpić od </w:t>
      </w:r>
      <w:r w:rsidRPr="000C2FE7">
        <w:t>niezrealizowanej części umowy i naliczyć karę umowną w wysokości 20% wartości brutto niezrealizowanej części umowy.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0" w:line="276" w:lineRule="auto"/>
        <w:ind w:left="560" w:right="480"/>
        <w:jc w:val="both"/>
      </w:pPr>
      <w:r w:rsidRPr="000C2FE7">
        <w:t xml:space="preserve">W przypadku odstąpienia przez Nabywcę od </w:t>
      </w:r>
      <w:r>
        <w:t>realizacji umowy z przyczyn nie </w:t>
      </w:r>
      <w:r w:rsidRPr="000C2FE7">
        <w:t>leżących po stronie Sprzedawcy, Sprzedawca obciąży Nabywcę karą umowną w wysokości 20% wartości brutto niezrealizowanej części umowy.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8"/>
        </w:tabs>
        <w:spacing w:after="120" w:line="276" w:lineRule="auto"/>
        <w:ind w:left="560" w:right="480"/>
        <w:jc w:val="both"/>
      </w:pPr>
      <w:r w:rsidRPr="000C2FE7">
        <w:t>Sprzedawca zastrzega sobie prawo do potrąc</w:t>
      </w:r>
      <w:r>
        <w:t>enia naliczonych kar umownych z </w:t>
      </w:r>
      <w:r w:rsidRPr="000C2FE7">
        <w:t>wpłaconej przez Nabywcę kwoty (wadium) na poczet niezrealizowanej części umowy.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673"/>
        </w:tabs>
        <w:spacing w:after="120" w:line="276" w:lineRule="auto"/>
        <w:ind w:left="560" w:right="480"/>
        <w:jc w:val="both"/>
      </w:pPr>
      <w:r w:rsidRPr="000C2FE7">
        <w:t xml:space="preserve">Sprzedawca zastrzega możliwość dochodzenia </w:t>
      </w:r>
      <w:r>
        <w:t>odszkodowania uzupełniającego w </w:t>
      </w:r>
      <w:r w:rsidRPr="000C2FE7">
        <w:t>przypadku zaistnienia szkody przewyższającej wysokość kar umownych.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124" w:line="276" w:lineRule="auto"/>
        <w:ind w:left="560" w:right="480"/>
        <w:jc w:val="both"/>
      </w:pPr>
      <w:r w:rsidRPr="000C2FE7">
        <w:t xml:space="preserve">Wymagane przez RODO informacje dotyczące przetwarzania Państwa danych osobowych zostały zamieszczone na stronie internetowej </w:t>
      </w:r>
      <w:hyperlink r:id="rId7" w:history="1">
        <w:r w:rsidRPr="000C2FE7">
          <w:rPr>
            <w:rStyle w:val="Hipercze"/>
            <w:color w:val="auto"/>
            <w:lang w:val="en-US" w:bidi="en-US"/>
          </w:rPr>
          <w:t>www.podr.pl</w:t>
        </w:r>
      </w:hyperlink>
      <w:r w:rsidRPr="000C2FE7">
        <w:rPr>
          <w:lang w:val="en-US" w:bidi="en-US"/>
        </w:rPr>
        <w:t xml:space="preserve"> </w:t>
      </w:r>
      <w:r w:rsidRPr="000C2FE7">
        <w:t>w zakładce: „RODO”, dostępne są w siedzibie Sprze</w:t>
      </w:r>
      <w:r>
        <w:t>dawcy oraz zostaną przekazane w </w:t>
      </w:r>
      <w:r w:rsidRPr="000C2FE7">
        <w:t>momencie pozyskiwania danych osobowych.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162" w:line="276" w:lineRule="auto"/>
        <w:ind w:left="560" w:right="480"/>
        <w:jc w:val="both"/>
      </w:pPr>
      <w:r w:rsidRPr="000C2FE7">
        <w:t xml:space="preserve">W sprawach nieuregulowanych w </w:t>
      </w:r>
      <w:r>
        <w:t>RP</w:t>
      </w:r>
      <w:r w:rsidRPr="000C2FE7">
        <w:t xml:space="preserve"> oraz w ogłoszeniu o przetargu publicznym zastosowanie mają odpowiednie przepisy Kodeksu cywilnego i rozporządzenia Rady Ministrów z dnia 21 października 2019 r. z </w:t>
      </w:r>
      <w:proofErr w:type="spellStart"/>
      <w:r w:rsidRPr="000C2FE7">
        <w:t>póź</w:t>
      </w:r>
      <w:proofErr w:type="spellEnd"/>
      <w:r w:rsidRPr="000C2FE7">
        <w:t xml:space="preserve">. zm. </w:t>
      </w:r>
      <w:r w:rsidRPr="00D87ECE">
        <w:rPr>
          <w:rStyle w:val="Bodytext2Italic"/>
          <w:sz w:val="20"/>
          <w:szCs w:val="20"/>
        </w:rPr>
        <w:t>w sprawie szczegółowego sposobu gospodarowania niektórymi składnikami majątku Skarbu Państwa.</w:t>
      </w:r>
    </w:p>
    <w:p w:rsidR="004D145C" w:rsidRPr="000C2FE7" w:rsidRDefault="004D145C" w:rsidP="004D145C">
      <w:pPr>
        <w:pStyle w:val="Bodytext20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76" w:lineRule="auto"/>
        <w:ind w:left="560"/>
        <w:jc w:val="both"/>
      </w:pPr>
      <w:r w:rsidRPr="000C2FE7">
        <w:t>Ewentualne sprawy sporne będą rozstrzygane przez sąd właściwy dla siedziby Sprzedawcy.</w:t>
      </w:r>
    </w:p>
    <w:p w:rsidR="004D145C" w:rsidRPr="000C2FE7" w:rsidRDefault="004D145C" w:rsidP="004D145C">
      <w:pPr>
        <w:spacing w:line="276" w:lineRule="auto"/>
      </w:pPr>
    </w:p>
    <w:p w:rsidR="004D145C" w:rsidRDefault="004D145C" w:rsidP="004D145C"/>
    <w:p w:rsidR="00E80E96" w:rsidRDefault="00E80E96"/>
    <w:sectPr w:rsidR="00E8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7F"/>
    <w:multiLevelType w:val="multilevel"/>
    <w:tmpl w:val="66589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F7DFC"/>
    <w:multiLevelType w:val="multilevel"/>
    <w:tmpl w:val="FDFAF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FC04CF"/>
    <w:multiLevelType w:val="multilevel"/>
    <w:tmpl w:val="5BBEE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F20CB7"/>
    <w:multiLevelType w:val="multilevel"/>
    <w:tmpl w:val="053C1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5C"/>
    <w:rsid w:val="001465D6"/>
    <w:rsid w:val="00183CB5"/>
    <w:rsid w:val="001B1AE2"/>
    <w:rsid w:val="002E53E4"/>
    <w:rsid w:val="0041131A"/>
    <w:rsid w:val="004411C9"/>
    <w:rsid w:val="004A1100"/>
    <w:rsid w:val="004D145C"/>
    <w:rsid w:val="007C548E"/>
    <w:rsid w:val="007E7450"/>
    <w:rsid w:val="00DA4C9A"/>
    <w:rsid w:val="00E30B57"/>
    <w:rsid w:val="00E80E96"/>
    <w:rsid w:val="00F16DA4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45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45C"/>
    <w:rPr>
      <w:color w:val="0066CC"/>
      <w:u w:val="single"/>
    </w:rPr>
  </w:style>
  <w:style w:type="character" w:customStyle="1" w:styleId="Bodytext2">
    <w:name w:val="Body text (2)_"/>
    <w:link w:val="Bodytext20"/>
    <w:rsid w:val="004D145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D145C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/>
      <w:sz w:val="22"/>
      <w:szCs w:val="24"/>
    </w:rPr>
  </w:style>
  <w:style w:type="character" w:customStyle="1" w:styleId="Bodytext2Italic">
    <w:name w:val="Body text (2) + Italic"/>
    <w:rsid w:val="004D1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45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45C"/>
    <w:rPr>
      <w:color w:val="0066CC"/>
      <w:u w:val="single"/>
    </w:rPr>
  </w:style>
  <w:style w:type="character" w:customStyle="1" w:styleId="Bodytext2">
    <w:name w:val="Body text (2)_"/>
    <w:link w:val="Bodytext20"/>
    <w:rsid w:val="004D145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D145C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/>
      <w:sz w:val="22"/>
      <w:szCs w:val="24"/>
    </w:rPr>
  </w:style>
  <w:style w:type="character" w:customStyle="1" w:styleId="Bodytext2Italic">
    <w:name w:val="Body text (2) + Italic"/>
    <w:rsid w:val="004D1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5</cp:revision>
  <dcterms:created xsi:type="dcterms:W3CDTF">2023-03-10T12:33:00Z</dcterms:created>
  <dcterms:modified xsi:type="dcterms:W3CDTF">2023-03-15T09:34:00Z</dcterms:modified>
</cp:coreProperties>
</file>